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E4912" w14:textId="33C94BE6" w:rsidR="00336C82" w:rsidRPr="00377509" w:rsidRDefault="00914F41" w:rsidP="00FD0122">
      <w:pPr>
        <w:spacing w:line="280" w:lineRule="exact"/>
        <w:jc w:val="center"/>
        <w:rPr>
          <w:rFonts w:ascii="Trebuchet MS" w:hAnsi="Trebuchet MS"/>
          <w:b/>
          <w:bCs/>
          <w:sz w:val="28"/>
          <w:szCs w:val="28"/>
        </w:rPr>
      </w:pPr>
      <w:r w:rsidRPr="00377509">
        <w:rPr>
          <w:rFonts w:ascii="Trebuchet MS" w:hAnsi="Trebuchet MS"/>
          <w:b/>
          <w:bCs/>
          <w:sz w:val="28"/>
          <w:szCs w:val="28"/>
        </w:rPr>
        <w:t xml:space="preserve">SCA </w:t>
      </w:r>
      <w:r w:rsidR="00B30332">
        <w:rPr>
          <w:rFonts w:ascii="Trebuchet MS" w:hAnsi="Trebuchet MS"/>
          <w:b/>
          <w:bCs/>
          <w:sz w:val="28"/>
          <w:szCs w:val="28"/>
        </w:rPr>
        <w:t xml:space="preserve">launches </w:t>
      </w:r>
      <w:r w:rsidR="00E719D2">
        <w:rPr>
          <w:rFonts w:ascii="Trebuchet MS" w:hAnsi="Trebuchet MS"/>
          <w:b/>
          <w:bCs/>
          <w:sz w:val="28"/>
          <w:szCs w:val="28"/>
        </w:rPr>
        <w:t>scheme</w:t>
      </w:r>
      <w:r w:rsidR="00AC5369" w:rsidRPr="00377509">
        <w:rPr>
          <w:rFonts w:ascii="Trebuchet MS" w:hAnsi="Trebuchet MS"/>
          <w:b/>
          <w:bCs/>
          <w:sz w:val="28"/>
          <w:szCs w:val="28"/>
        </w:rPr>
        <w:t xml:space="preserve"> </w:t>
      </w:r>
      <w:r w:rsidR="00B30332">
        <w:rPr>
          <w:rFonts w:ascii="Trebuchet MS" w:hAnsi="Trebuchet MS"/>
          <w:b/>
          <w:bCs/>
          <w:sz w:val="28"/>
          <w:szCs w:val="28"/>
        </w:rPr>
        <w:t xml:space="preserve">to </w:t>
      </w:r>
      <w:r w:rsidR="00CB08AB">
        <w:rPr>
          <w:rFonts w:ascii="Trebuchet MS" w:hAnsi="Trebuchet MS"/>
          <w:b/>
          <w:bCs/>
          <w:sz w:val="28"/>
          <w:szCs w:val="28"/>
        </w:rPr>
        <w:t xml:space="preserve">pay </w:t>
      </w:r>
      <w:r w:rsidR="00C219CA">
        <w:rPr>
          <w:rFonts w:ascii="Trebuchet MS" w:hAnsi="Trebuchet MS"/>
          <w:b/>
          <w:bCs/>
          <w:sz w:val="28"/>
          <w:szCs w:val="28"/>
        </w:rPr>
        <w:t xml:space="preserve">shareholders of public joint stock companies </w:t>
      </w:r>
      <w:r w:rsidR="00CB08AB">
        <w:rPr>
          <w:rFonts w:ascii="Trebuchet MS" w:hAnsi="Trebuchet MS"/>
          <w:b/>
          <w:bCs/>
          <w:sz w:val="28"/>
          <w:szCs w:val="28"/>
        </w:rPr>
        <w:t xml:space="preserve">unclaimed dividends dating back to </w:t>
      </w:r>
      <w:r w:rsidR="00C219CA">
        <w:rPr>
          <w:rFonts w:ascii="Trebuchet MS" w:hAnsi="Trebuchet MS"/>
          <w:b/>
          <w:bCs/>
          <w:sz w:val="28"/>
          <w:szCs w:val="28"/>
        </w:rPr>
        <w:t xml:space="preserve">before </w:t>
      </w:r>
      <w:r w:rsidR="00CB08AB">
        <w:rPr>
          <w:rFonts w:ascii="Trebuchet MS" w:hAnsi="Trebuchet MS"/>
          <w:b/>
          <w:bCs/>
          <w:sz w:val="28"/>
          <w:szCs w:val="28"/>
        </w:rPr>
        <w:t xml:space="preserve">March 2015 </w:t>
      </w:r>
    </w:p>
    <w:p w14:paraId="234C6D30" w14:textId="569725D2" w:rsidR="00AC5369" w:rsidRPr="00651753" w:rsidRDefault="00292748" w:rsidP="00AF1D60">
      <w:pPr>
        <w:spacing w:line="280" w:lineRule="exact"/>
        <w:jc w:val="both"/>
        <w:rPr>
          <w:rFonts w:ascii="Trebuchet MS" w:hAnsi="Trebuchet MS"/>
        </w:rPr>
      </w:pPr>
      <w:r w:rsidRPr="00651753">
        <w:rPr>
          <w:rFonts w:ascii="Trebuchet MS" w:hAnsi="Trebuchet MS"/>
        </w:rPr>
        <w:t xml:space="preserve">As part of </w:t>
      </w:r>
      <w:r w:rsidR="00651753" w:rsidRPr="00651753">
        <w:rPr>
          <w:rFonts w:ascii="Trebuchet MS" w:hAnsi="Trebuchet MS"/>
        </w:rPr>
        <w:t>its</w:t>
      </w:r>
      <w:r w:rsidRPr="00651753">
        <w:rPr>
          <w:rFonts w:ascii="Trebuchet MS" w:hAnsi="Trebuchet MS"/>
        </w:rPr>
        <w:t xml:space="preserve"> keen efforts to </w:t>
      </w:r>
      <w:r w:rsidR="007816AC">
        <w:rPr>
          <w:rFonts w:ascii="Trebuchet MS" w:hAnsi="Trebuchet MS"/>
        </w:rPr>
        <w:t>pay</w:t>
      </w:r>
      <w:r w:rsidR="00E719D2">
        <w:rPr>
          <w:rFonts w:ascii="Trebuchet MS" w:hAnsi="Trebuchet MS"/>
        </w:rPr>
        <w:t xml:space="preserve"> </w:t>
      </w:r>
      <w:r w:rsidR="00CB08AB">
        <w:rPr>
          <w:rFonts w:ascii="Trebuchet MS" w:hAnsi="Trebuchet MS"/>
        </w:rPr>
        <w:t>shareholders of public joint stock companies unclaimed dividends dating back to March 2015</w:t>
      </w:r>
      <w:r w:rsidR="00CB08AB" w:rsidRPr="00C219CA">
        <w:rPr>
          <w:rFonts w:ascii="Gill Sans MT" w:hAnsi="Gill Sans MT"/>
        </w:rPr>
        <w:t>,</w:t>
      </w:r>
      <w:r w:rsidR="00CB08AB">
        <w:rPr>
          <w:rFonts w:ascii="Trebuchet MS" w:hAnsi="Trebuchet MS"/>
        </w:rPr>
        <w:t xml:space="preserve"> and following consultation with the relevant authorities</w:t>
      </w:r>
      <w:r w:rsidR="00CB08AB" w:rsidRPr="00C219CA">
        <w:rPr>
          <w:rFonts w:ascii="Gill Sans MT" w:hAnsi="Gill Sans MT"/>
        </w:rPr>
        <w:t>,</w:t>
      </w:r>
      <w:r w:rsidR="00E719D2">
        <w:rPr>
          <w:rFonts w:ascii="Trebuchet MS" w:hAnsi="Trebuchet MS"/>
        </w:rPr>
        <w:t xml:space="preserve"> </w:t>
      </w:r>
      <w:r w:rsidR="00927515" w:rsidRPr="00651753">
        <w:rPr>
          <w:rFonts w:ascii="Trebuchet MS" w:hAnsi="Trebuchet MS"/>
        </w:rPr>
        <w:t>the Securities and Commodities Authority</w:t>
      </w:r>
      <w:r w:rsidR="00D16A8B">
        <w:rPr>
          <w:rFonts w:ascii="Trebuchet MS" w:hAnsi="Trebuchet MS"/>
        </w:rPr>
        <w:t xml:space="preserve"> (SCA)</w:t>
      </w:r>
      <w:r w:rsidR="00927515" w:rsidRPr="00651753">
        <w:rPr>
          <w:rFonts w:ascii="Trebuchet MS" w:hAnsi="Trebuchet MS"/>
        </w:rPr>
        <w:t xml:space="preserve"> has the pleasure to announce th</w:t>
      </w:r>
      <w:r w:rsidR="00E719D2">
        <w:rPr>
          <w:rFonts w:ascii="Trebuchet MS" w:hAnsi="Trebuchet MS"/>
        </w:rPr>
        <w:t>e</w:t>
      </w:r>
      <w:r w:rsidR="00927515">
        <w:rPr>
          <w:rFonts w:ascii="Trebuchet MS" w:hAnsi="Trebuchet MS"/>
        </w:rPr>
        <w:t xml:space="preserve"> </w:t>
      </w:r>
      <w:r w:rsidR="00E719D2">
        <w:rPr>
          <w:rFonts w:ascii="Trebuchet MS" w:hAnsi="Trebuchet MS"/>
        </w:rPr>
        <w:t xml:space="preserve">start of receiving </w:t>
      </w:r>
      <w:r w:rsidR="00CB08AB">
        <w:rPr>
          <w:rFonts w:ascii="Trebuchet MS" w:hAnsi="Trebuchet MS"/>
        </w:rPr>
        <w:t>payment</w:t>
      </w:r>
      <w:r w:rsidR="00CB015B">
        <w:rPr>
          <w:rFonts w:ascii="Trebuchet MS" w:hAnsi="Trebuchet MS"/>
        </w:rPr>
        <w:t xml:space="preserve"> requests</w:t>
      </w:r>
      <w:r w:rsidR="00927515" w:rsidRPr="00651753">
        <w:rPr>
          <w:rFonts w:ascii="Trebuchet MS" w:hAnsi="Trebuchet MS"/>
        </w:rPr>
        <w:t xml:space="preserve"> to </w:t>
      </w:r>
      <w:r w:rsidR="00E719D2" w:rsidRPr="00651753">
        <w:rPr>
          <w:rFonts w:ascii="Trebuchet MS" w:hAnsi="Trebuchet MS"/>
        </w:rPr>
        <w:t xml:space="preserve">ensure the delivery of fast services </w:t>
      </w:r>
      <w:r w:rsidR="00E719D2">
        <w:rPr>
          <w:rFonts w:ascii="Trebuchet MS" w:hAnsi="Trebuchet MS"/>
        </w:rPr>
        <w:t>that meet</w:t>
      </w:r>
      <w:r w:rsidR="00927515" w:rsidRPr="00651753">
        <w:rPr>
          <w:rFonts w:ascii="Trebuchet MS" w:hAnsi="Trebuchet MS"/>
        </w:rPr>
        <w:t xml:space="preserve"> investor needs and </w:t>
      </w:r>
      <w:r w:rsidR="00927515">
        <w:rPr>
          <w:rFonts w:ascii="Trebuchet MS" w:hAnsi="Trebuchet MS"/>
        </w:rPr>
        <w:t>expectations</w:t>
      </w:r>
      <w:r w:rsidR="00CB015B">
        <w:rPr>
          <w:rFonts w:ascii="Trebuchet MS" w:hAnsi="Trebuchet MS"/>
        </w:rPr>
        <w:t xml:space="preserve">. </w:t>
      </w:r>
      <w:r w:rsidR="00AC5369" w:rsidRPr="00651753">
        <w:rPr>
          <w:rFonts w:ascii="Trebuchet MS" w:hAnsi="Trebuchet MS"/>
        </w:rPr>
        <w:t>This will be done according to the following channels and procedures</w:t>
      </w:r>
      <w:r w:rsidR="00E719D2">
        <w:rPr>
          <w:rFonts w:ascii="Trebuchet MS" w:hAnsi="Trebuchet MS"/>
        </w:rPr>
        <w:t>:</w:t>
      </w:r>
    </w:p>
    <w:p w14:paraId="2E837068" w14:textId="4C6B869F" w:rsidR="00CB08AB" w:rsidRDefault="00CB08AB" w:rsidP="00CB08AB">
      <w:pPr>
        <w:spacing w:line="280" w:lineRule="exact"/>
        <w:jc w:val="both"/>
        <w:rPr>
          <w:rFonts w:ascii="Trebuchet MS" w:hAnsi="Trebuchet MS"/>
        </w:rPr>
      </w:pPr>
      <w:r w:rsidRPr="00CB08AB">
        <w:rPr>
          <w:rFonts w:ascii="Trebuchet MS" w:hAnsi="Trebuchet MS"/>
        </w:rPr>
        <w:t>The SCA appointed First Abu Dhabi Bank (FAB) to handle the p</w:t>
      </w:r>
      <w:r>
        <w:rPr>
          <w:rFonts w:ascii="Trebuchet MS" w:hAnsi="Trebuchet MS"/>
        </w:rPr>
        <w:t>rocess</w:t>
      </w:r>
      <w:r w:rsidRPr="00CB08AB">
        <w:rPr>
          <w:rFonts w:ascii="Trebuchet MS" w:hAnsi="Trebuchet MS"/>
        </w:rPr>
        <w:t xml:space="preserve">. FAB will receive payment requests via </w:t>
      </w:r>
      <w:r>
        <w:rPr>
          <w:rFonts w:ascii="Trebuchet MS" w:hAnsi="Trebuchet MS"/>
        </w:rPr>
        <w:t>these</w:t>
      </w:r>
      <w:r w:rsidRPr="00CB08AB">
        <w:rPr>
          <w:rFonts w:ascii="Trebuchet MS" w:hAnsi="Trebuchet MS"/>
        </w:rPr>
        <w:t xml:space="preserve"> channels:</w:t>
      </w:r>
    </w:p>
    <w:p w14:paraId="472B5DC1" w14:textId="00E6D75A" w:rsidR="00CB08AB" w:rsidRPr="004B540E" w:rsidRDefault="00CB08AB" w:rsidP="00CB08AB">
      <w:pPr>
        <w:pStyle w:val="ListParagraph"/>
        <w:numPr>
          <w:ilvl w:val="0"/>
          <w:numId w:val="1"/>
        </w:numPr>
        <w:spacing w:line="280" w:lineRule="exact"/>
        <w:jc w:val="both"/>
        <w:rPr>
          <w:rFonts w:ascii="Trebuchet MS" w:hAnsi="Trebuchet MS"/>
        </w:rPr>
      </w:pPr>
      <w:r w:rsidRPr="004B540E">
        <w:rPr>
          <w:rFonts w:ascii="Trebuchet MS" w:hAnsi="Trebuchet MS"/>
        </w:rPr>
        <w:t>Email</w:t>
      </w:r>
      <w:r>
        <w:rPr>
          <w:rFonts w:ascii="Trebuchet MS" w:hAnsi="Trebuchet MS"/>
        </w:rPr>
        <w:t xml:space="preserve"> (</w:t>
      </w:r>
      <w:hyperlink r:id="rId7" w:history="1">
        <w:r w:rsidRPr="00296DFD">
          <w:rPr>
            <w:rStyle w:val="Hyperlink"/>
            <w:rFonts w:ascii="Trebuchet MS" w:hAnsi="Trebuchet MS"/>
          </w:rPr>
          <w:t>scaunclaimeddividends@bankfab.com</w:t>
        </w:r>
      </w:hyperlink>
      <w:r>
        <w:rPr>
          <w:rFonts w:ascii="Trebuchet MS" w:hAnsi="Trebuchet MS"/>
        </w:rPr>
        <w:t xml:space="preserve">). </w:t>
      </w:r>
      <w:bookmarkStart w:id="0" w:name="_GoBack"/>
      <w:bookmarkEnd w:id="0"/>
    </w:p>
    <w:p w14:paraId="65B8A0A2" w14:textId="540BC4A8" w:rsidR="00CB08AB" w:rsidRPr="004B540E" w:rsidRDefault="00CB08AB" w:rsidP="00CB08AB">
      <w:pPr>
        <w:pStyle w:val="ListParagraph"/>
        <w:numPr>
          <w:ilvl w:val="0"/>
          <w:numId w:val="1"/>
        </w:numPr>
        <w:spacing w:line="280" w:lineRule="exact"/>
        <w:jc w:val="both"/>
        <w:rPr>
          <w:rFonts w:ascii="Trebuchet MS" w:hAnsi="Trebuchet MS"/>
        </w:rPr>
      </w:pPr>
      <w:r w:rsidRPr="004B540E">
        <w:rPr>
          <w:rFonts w:ascii="Trebuchet MS" w:hAnsi="Trebuchet MS"/>
        </w:rPr>
        <w:t>Phone</w:t>
      </w:r>
      <w:r>
        <w:rPr>
          <w:rFonts w:ascii="Trebuchet MS" w:hAnsi="Trebuchet MS"/>
        </w:rPr>
        <w:t xml:space="preserve"> (02 6161800).</w:t>
      </w:r>
    </w:p>
    <w:p w14:paraId="76F759CA" w14:textId="074E8EE6" w:rsidR="00CB08AB" w:rsidRPr="004B540E" w:rsidRDefault="00CB08AB" w:rsidP="00CB08AB">
      <w:pPr>
        <w:pStyle w:val="ListParagraph"/>
        <w:numPr>
          <w:ilvl w:val="0"/>
          <w:numId w:val="1"/>
        </w:numPr>
        <w:spacing w:line="280" w:lineRule="exact"/>
        <w:jc w:val="both"/>
        <w:rPr>
          <w:rFonts w:ascii="Trebuchet MS" w:hAnsi="Trebuchet MS"/>
        </w:rPr>
      </w:pPr>
      <w:r>
        <w:rPr>
          <w:rFonts w:ascii="Trebuchet MS" w:hAnsi="Trebuchet MS"/>
        </w:rPr>
        <w:t>At any</w:t>
      </w:r>
      <w:r w:rsidRPr="004B540E">
        <w:rPr>
          <w:rFonts w:ascii="Trebuchet MS" w:hAnsi="Trebuchet MS"/>
        </w:rPr>
        <w:t xml:space="preserve"> FAB branch </w:t>
      </w:r>
      <w:r>
        <w:rPr>
          <w:rFonts w:ascii="Trebuchet MS" w:hAnsi="Trebuchet MS"/>
        </w:rPr>
        <w:t>across the UAE</w:t>
      </w:r>
      <w:r w:rsidRPr="004B540E">
        <w:rPr>
          <w:rFonts w:ascii="Trebuchet MS" w:hAnsi="Trebuchet MS"/>
        </w:rPr>
        <w:t>.</w:t>
      </w:r>
    </w:p>
    <w:p w14:paraId="28164A24" w14:textId="03017C9E" w:rsidR="00CB08AB" w:rsidRPr="004B540E" w:rsidRDefault="00CB08AB" w:rsidP="00CB08AB">
      <w:pPr>
        <w:spacing w:line="280" w:lineRule="exact"/>
        <w:jc w:val="both"/>
        <w:rPr>
          <w:rFonts w:ascii="Trebuchet MS" w:hAnsi="Trebuchet MS"/>
        </w:rPr>
      </w:pPr>
      <w:r w:rsidRPr="004B540E">
        <w:rPr>
          <w:rFonts w:ascii="Trebuchet MS" w:hAnsi="Trebuchet MS"/>
        </w:rPr>
        <w:t xml:space="preserve">Applicants </w:t>
      </w:r>
      <w:r>
        <w:rPr>
          <w:rFonts w:ascii="Trebuchet MS" w:hAnsi="Trebuchet MS"/>
        </w:rPr>
        <w:t>must</w:t>
      </w:r>
      <w:r w:rsidRPr="004B540E">
        <w:rPr>
          <w:rFonts w:ascii="Trebuchet MS" w:hAnsi="Trebuchet MS"/>
        </w:rPr>
        <w:t xml:space="preserve"> provide the following documents:</w:t>
      </w:r>
    </w:p>
    <w:p w14:paraId="7A270F28" w14:textId="77777777" w:rsidR="00CB08AB" w:rsidRPr="004B540E" w:rsidRDefault="00CB08AB" w:rsidP="00CB08AB">
      <w:pPr>
        <w:pStyle w:val="ListParagraph"/>
        <w:numPr>
          <w:ilvl w:val="0"/>
          <w:numId w:val="1"/>
        </w:numPr>
        <w:spacing w:line="280" w:lineRule="exact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Copy of the </w:t>
      </w:r>
      <w:r w:rsidRPr="004B540E">
        <w:rPr>
          <w:rFonts w:ascii="Trebuchet MS" w:hAnsi="Trebuchet MS"/>
        </w:rPr>
        <w:t xml:space="preserve">Emirates ID </w:t>
      </w:r>
      <w:r>
        <w:rPr>
          <w:rFonts w:ascii="Trebuchet MS" w:hAnsi="Trebuchet MS"/>
        </w:rPr>
        <w:t>card</w:t>
      </w:r>
      <w:r w:rsidRPr="004B540E">
        <w:rPr>
          <w:rFonts w:ascii="Trebuchet MS" w:hAnsi="Trebuchet MS"/>
        </w:rPr>
        <w:t xml:space="preserve"> (for </w:t>
      </w:r>
      <w:r>
        <w:rPr>
          <w:rFonts w:ascii="Trebuchet MS" w:hAnsi="Trebuchet MS"/>
        </w:rPr>
        <w:t>UAE nationals</w:t>
      </w:r>
      <w:r w:rsidRPr="004B540E">
        <w:rPr>
          <w:rFonts w:ascii="Agency FB" w:hAnsi="Agency FB"/>
        </w:rPr>
        <w:t>/</w:t>
      </w:r>
      <w:r w:rsidRPr="004B540E">
        <w:rPr>
          <w:rFonts w:ascii="Trebuchet MS" w:hAnsi="Trebuchet MS"/>
        </w:rPr>
        <w:t>residents).</w:t>
      </w:r>
    </w:p>
    <w:p w14:paraId="477D67B1" w14:textId="77777777" w:rsidR="00CB08AB" w:rsidRDefault="00CB08AB" w:rsidP="00CB08AB">
      <w:pPr>
        <w:pStyle w:val="ListParagraph"/>
        <w:numPr>
          <w:ilvl w:val="0"/>
          <w:numId w:val="1"/>
        </w:numPr>
        <w:spacing w:line="280" w:lineRule="exact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Copy of the passport </w:t>
      </w:r>
      <w:r w:rsidRPr="004B540E">
        <w:rPr>
          <w:rFonts w:ascii="Trebuchet MS" w:hAnsi="Trebuchet MS"/>
        </w:rPr>
        <w:t>(for non-</w:t>
      </w:r>
      <w:r>
        <w:rPr>
          <w:rFonts w:ascii="Trebuchet MS" w:hAnsi="Trebuchet MS"/>
        </w:rPr>
        <w:t>UAE nationals</w:t>
      </w:r>
      <w:r w:rsidRPr="004B540E">
        <w:rPr>
          <w:rFonts w:ascii="Trebuchet MS" w:hAnsi="Trebuchet MS"/>
        </w:rPr>
        <w:t>).</w:t>
      </w:r>
    </w:p>
    <w:p w14:paraId="30FFDC60" w14:textId="77777777" w:rsidR="00CB08AB" w:rsidRDefault="00CB08AB" w:rsidP="00CB08AB">
      <w:pPr>
        <w:pStyle w:val="ListParagraph"/>
        <w:numPr>
          <w:ilvl w:val="0"/>
          <w:numId w:val="1"/>
        </w:numPr>
        <w:spacing w:line="280" w:lineRule="exact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Copy of the family book (for UAE nationals). </w:t>
      </w:r>
    </w:p>
    <w:p w14:paraId="62B61801" w14:textId="77777777" w:rsidR="00CB08AB" w:rsidRPr="004B540E" w:rsidRDefault="00CB08AB" w:rsidP="00CB08AB">
      <w:pPr>
        <w:pStyle w:val="ListParagraph"/>
        <w:numPr>
          <w:ilvl w:val="0"/>
          <w:numId w:val="1"/>
        </w:numPr>
        <w:spacing w:line="280" w:lineRule="exact"/>
        <w:jc w:val="both"/>
        <w:rPr>
          <w:rFonts w:ascii="Trebuchet MS" w:hAnsi="Trebuchet MS"/>
        </w:rPr>
      </w:pPr>
      <w:r w:rsidRPr="004B540E">
        <w:rPr>
          <w:rFonts w:ascii="Trebuchet MS" w:hAnsi="Trebuchet MS"/>
        </w:rPr>
        <w:t>Certificate from the bank specifying the account number and IBAN.</w:t>
      </w:r>
    </w:p>
    <w:p w14:paraId="7EC3C2FD" w14:textId="77777777" w:rsidR="00CB08AB" w:rsidRDefault="00CB08AB" w:rsidP="00CB08AB">
      <w:pPr>
        <w:pStyle w:val="ListParagraph"/>
        <w:numPr>
          <w:ilvl w:val="0"/>
          <w:numId w:val="1"/>
        </w:numPr>
        <w:spacing w:line="280" w:lineRule="exact"/>
        <w:jc w:val="both"/>
        <w:rPr>
          <w:rFonts w:ascii="Trebuchet MS" w:hAnsi="Trebuchet MS"/>
        </w:rPr>
      </w:pPr>
      <w:r>
        <w:rPr>
          <w:rFonts w:ascii="Trebuchet MS" w:hAnsi="Trebuchet MS"/>
        </w:rPr>
        <w:t>Share</w:t>
      </w:r>
      <w:r w:rsidRPr="00A84CA2">
        <w:rPr>
          <w:rFonts w:ascii="Trebuchet MS" w:hAnsi="Trebuchet MS"/>
        </w:rPr>
        <w:t xml:space="preserve"> certificates</w:t>
      </w:r>
      <w:r w:rsidRPr="00AF1D60">
        <w:rPr>
          <w:rFonts w:ascii="Gill Sans MT" w:hAnsi="Gill Sans MT"/>
        </w:rPr>
        <w:t>,</w:t>
      </w:r>
      <w:r w:rsidRPr="00A84CA2">
        <w:rPr>
          <w:rFonts w:ascii="Trebuchet MS" w:hAnsi="Trebuchet MS"/>
        </w:rPr>
        <w:t xml:space="preserve"> general assembly invitations</w:t>
      </w:r>
      <w:r w:rsidRPr="00AF1D60">
        <w:rPr>
          <w:rFonts w:ascii="Gill Sans MT" w:hAnsi="Gill Sans MT"/>
        </w:rPr>
        <w:t>,</w:t>
      </w:r>
      <w:r w:rsidRPr="00A84CA2">
        <w:rPr>
          <w:rFonts w:ascii="Trebuchet MS" w:hAnsi="Trebuchet MS"/>
        </w:rPr>
        <w:t xml:space="preserve"> or any other documents </w:t>
      </w:r>
      <w:r>
        <w:rPr>
          <w:rFonts w:ascii="Trebuchet MS" w:hAnsi="Trebuchet MS"/>
        </w:rPr>
        <w:t>evidencing</w:t>
      </w:r>
      <w:r w:rsidRPr="00A84CA2">
        <w:rPr>
          <w:rFonts w:ascii="Trebuchet MS" w:hAnsi="Trebuchet MS"/>
        </w:rPr>
        <w:t xml:space="preserve"> ownership of shares and entitlement to dividends</w:t>
      </w:r>
      <w:r w:rsidRPr="00AF1D60">
        <w:rPr>
          <w:rFonts w:ascii="Gill Sans MT" w:hAnsi="Gill Sans MT"/>
        </w:rPr>
        <w:t>,</w:t>
      </w:r>
      <w:r w:rsidRPr="00A84CA2">
        <w:rPr>
          <w:rFonts w:ascii="Trebuchet MS" w:hAnsi="Trebuchet MS"/>
        </w:rPr>
        <w:t xml:space="preserve"> if </w:t>
      </w:r>
      <w:r>
        <w:rPr>
          <w:rFonts w:ascii="Trebuchet MS" w:hAnsi="Trebuchet MS"/>
        </w:rPr>
        <w:t>any</w:t>
      </w:r>
      <w:r w:rsidRPr="00A84CA2">
        <w:rPr>
          <w:rFonts w:ascii="Trebuchet MS" w:hAnsi="Trebuchet MS"/>
        </w:rPr>
        <w:t>.</w:t>
      </w:r>
    </w:p>
    <w:p w14:paraId="371C61F1" w14:textId="77777777" w:rsidR="00CB08AB" w:rsidRPr="00A84CA2" w:rsidRDefault="00CB08AB" w:rsidP="00CB08AB">
      <w:pPr>
        <w:pStyle w:val="ListParagraph"/>
        <w:numPr>
          <w:ilvl w:val="0"/>
          <w:numId w:val="1"/>
        </w:numPr>
        <w:spacing w:line="280" w:lineRule="exact"/>
        <w:jc w:val="both"/>
        <w:rPr>
          <w:rFonts w:ascii="Trebuchet MS" w:hAnsi="Trebuchet MS"/>
        </w:rPr>
      </w:pPr>
      <w:r>
        <w:rPr>
          <w:rFonts w:ascii="Trebuchet MS" w:hAnsi="Trebuchet MS"/>
        </w:rPr>
        <w:t>The investor number</w:t>
      </w:r>
      <w:r w:rsidRPr="00AF1D60">
        <w:rPr>
          <w:rFonts w:ascii="Gill Sans MT" w:hAnsi="Gill Sans MT"/>
        </w:rPr>
        <w:t>,</w:t>
      </w:r>
      <w:r>
        <w:rPr>
          <w:rFonts w:ascii="Trebuchet MS" w:hAnsi="Trebuchet MS"/>
        </w:rPr>
        <w:t xml:space="preserve"> if applicable</w:t>
      </w:r>
      <w:r w:rsidRPr="00A84CA2">
        <w:rPr>
          <w:rFonts w:ascii="Trebuchet MS" w:hAnsi="Trebuchet MS"/>
        </w:rPr>
        <w:t>.</w:t>
      </w:r>
    </w:p>
    <w:p w14:paraId="56E6221B" w14:textId="77777777" w:rsidR="00CB08AB" w:rsidRDefault="00CB08AB" w:rsidP="00CB08AB">
      <w:pPr>
        <w:pStyle w:val="ListParagraph"/>
        <w:numPr>
          <w:ilvl w:val="0"/>
          <w:numId w:val="1"/>
        </w:numPr>
        <w:spacing w:line="280" w:lineRule="exact"/>
        <w:jc w:val="both"/>
        <w:rPr>
          <w:rFonts w:ascii="Trebuchet MS" w:hAnsi="Trebuchet MS"/>
        </w:rPr>
      </w:pPr>
      <w:r w:rsidRPr="00A84CA2">
        <w:rPr>
          <w:rFonts w:ascii="Trebuchet MS" w:hAnsi="Trebuchet MS"/>
        </w:rPr>
        <w:t>If the shareholder is a legal entity</w:t>
      </w:r>
      <w:r w:rsidRPr="00AF1D60">
        <w:rPr>
          <w:rFonts w:ascii="Gill Sans MT" w:hAnsi="Gill Sans MT"/>
        </w:rPr>
        <w:t>,</w:t>
      </w:r>
      <w:r w:rsidRPr="00A84CA2">
        <w:rPr>
          <w:rFonts w:ascii="Trebuchet MS" w:hAnsi="Trebuchet MS"/>
        </w:rPr>
        <w:t xml:space="preserve"> a copy of the </w:t>
      </w:r>
      <w:r>
        <w:rPr>
          <w:rFonts w:ascii="Trebuchet MS" w:hAnsi="Trebuchet MS"/>
        </w:rPr>
        <w:t>following should be provided: 1) commercial license</w:t>
      </w:r>
      <w:r>
        <w:rPr>
          <w:rFonts w:ascii="Gill Sans MT" w:hAnsi="Gill Sans MT"/>
        </w:rPr>
        <w:t>;</w:t>
      </w:r>
      <w:r>
        <w:rPr>
          <w:rFonts w:ascii="Trebuchet MS" w:hAnsi="Trebuchet MS"/>
        </w:rPr>
        <w:t xml:space="preserve"> 2) authorized signature letter</w:t>
      </w:r>
      <w:r>
        <w:rPr>
          <w:rFonts w:ascii="Gill Sans MT" w:hAnsi="Gill Sans MT"/>
        </w:rPr>
        <w:t>;</w:t>
      </w:r>
      <w:r w:rsidRPr="00A84C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3) and the passport and ID card of the authorized signatory</w:t>
      </w:r>
      <w:r>
        <w:rPr>
          <w:rFonts w:ascii="Gill Sans MT" w:hAnsi="Gill Sans MT"/>
        </w:rPr>
        <w:t xml:space="preserve">. </w:t>
      </w:r>
    </w:p>
    <w:p w14:paraId="55B7518E" w14:textId="77777777" w:rsidR="00CB08AB" w:rsidRDefault="00CB08AB" w:rsidP="00CB08AB">
      <w:pPr>
        <w:pStyle w:val="ListParagraph"/>
        <w:numPr>
          <w:ilvl w:val="0"/>
          <w:numId w:val="1"/>
        </w:numPr>
        <w:spacing w:line="280" w:lineRule="exact"/>
        <w:jc w:val="both"/>
        <w:rPr>
          <w:rFonts w:ascii="Trebuchet MS" w:hAnsi="Trebuchet MS"/>
        </w:rPr>
      </w:pPr>
      <w:r w:rsidRPr="00454200">
        <w:rPr>
          <w:rFonts w:ascii="Trebuchet MS" w:hAnsi="Trebuchet MS"/>
        </w:rPr>
        <w:t>If the applicant is acting as an agent for the shareholder or his/her heirs</w:t>
      </w:r>
      <w:r w:rsidRPr="00EE288F">
        <w:rPr>
          <w:rFonts w:ascii="Gill Sans MT" w:hAnsi="Gill Sans MT"/>
        </w:rPr>
        <w:t>,</w:t>
      </w:r>
      <w:r w:rsidRPr="00454200">
        <w:rPr>
          <w:rFonts w:ascii="Trebuchet MS" w:hAnsi="Trebuchet MS"/>
        </w:rPr>
        <w:t xml:space="preserve"> a power of attorney</w:t>
      </w:r>
      <w:r w:rsidRPr="00454200">
        <w:rPr>
          <w:rFonts w:ascii="Agency FB" w:hAnsi="Agency FB"/>
        </w:rPr>
        <w:t>/</w:t>
      </w:r>
      <w:r w:rsidRPr="00257CBE">
        <w:rPr>
          <w:rFonts w:ascii="Trebuchet MS" w:hAnsi="Trebuchet MS"/>
        </w:rPr>
        <w:t>succession</w:t>
      </w:r>
      <w:r>
        <w:rPr>
          <w:rFonts w:ascii="Agency FB" w:hAnsi="Agency FB"/>
        </w:rPr>
        <w:t xml:space="preserve"> </w:t>
      </w:r>
      <w:r w:rsidRPr="00454200">
        <w:rPr>
          <w:rFonts w:ascii="Trebuchet MS" w:hAnsi="Trebuchet MS"/>
        </w:rPr>
        <w:t>certificate issued and approved by the relevant UAE authorities must be provided. If the power of attorney is issued abroad</w:t>
      </w:r>
      <w:r w:rsidRPr="00EE288F">
        <w:rPr>
          <w:rFonts w:ascii="Gill Sans MT" w:hAnsi="Gill Sans MT"/>
        </w:rPr>
        <w:t>,</w:t>
      </w:r>
      <w:r w:rsidRPr="00454200">
        <w:rPr>
          <w:rFonts w:ascii="Trebuchet MS" w:hAnsi="Trebuchet MS"/>
        </w:rPr>
        <w:t xml:space="preserve"> it must be </w:t>
      </w:r>
      <w:r>
        <w:rPr>
          <w:rFonts w:ascii="Trebuchet MS" w:hAnsi="Trebuchet MS"/>
        </w:rPr>
        <w:t>notarized</w:t>
      </w:r>
      <w:r w:rsidRPr="00454200">
        <w:rPr>
          <w:rFonts w:ascii="Trebuchet MS" w:hAnsi="Trebuchet MS"/>
        </w:rPr>
        <w:t xml:space="preserve"> by the UAE Embassy and the ministry of foreign affairs in the issuing country as well as the UAE Ministry of Foreign Affairs.</w:t>
      </w:r>
    </w:p>
    <w:p w14:paraId="74C09611" w14:textId="77777777" w:rsidR="00CB08AB" w:rsidRDefault="00CB08AB" w:rsidP="00CB08AB">
      <w:pPr>
        <w:pStyle w:val="ListParagraph"/>
        <w:numPr>
          <w:ilvl w:val="0"/>
          <w:numId w:val="1"/>
        </w:numPr>
        <w:spacing w:line="280" w:lineRule="exact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Contact details. </w:t>
      </w:r>
    </w:p>
    <w:p w14:paraId="630D6E20" w14:textId="6A408619" w:rsidR="00336C82" w:rsidRPr="00C219CA" w:rsidRDefault="00C219CA" w:rsidP="00C219CA">
      <w:pPr>
        <w:spacing w:line="280" w:lineRule="exact"/>
        <w:jc w:val="both"/>
        <w:rPr>
          <w:rFonts w:ascii="Trebuchet MS" w:hAnsi="Trebuchet MS"/>
        </w:rPr>
      </w:pPr>
      <w:r w:rsidRPr="00C219CA">
        <w:rPr>
          <w:rFonts w:ascii="Trebuchet MS" w:hAnsi="Trebuchet MS"/>
        </w:rPr>
        <w:t>The paying agent will transfer the dividends to the account holder within 5 business days after completing all the required documents and data. An SMS to the account holder’s mobile</w:t>
      </w:r>
      <w:r>
        <w:rPr>
          <w:rFonts w:ascii="Trebuchet MS" w:hAnsi="Trebuchet MS"/>
        </w:rPr>
        <w:t xml:space="preserve"> </w:t>
      </w:r>
      <w:r w:rsidRPr="00C219CA">
        <w:rPr>
          <w:rFonts w:ascii="Trebuchet MS" w:hAnsi="Trebuchet MS"/>
        </w:rPr>
        <w:t>phone will be sent to notify him/her of the transfer.</w:t>
      </w:r>
    </w:p>
    <w:sectPr w:rsidR="00336C82" w:rsidRPr="00C219CA" w:rsidSect="00070AF2">
      <w:headerReference w:type="default" r:id="rId8"/>
      <w:pgSz w:w="12240" w:h="15840"/>
      <w:pgMar w:top="1440" w:right="1440" w:bottom="1440" w:left="19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0B487" w14:textId="77777777" w:rsidR="00070AF2" w:rsidRDefault="00070AF2" w:rsidP="00DD2573">
      <w:pPr>
        <w:spacing w:after="0" w:line="240" w:lineRule="auto"/>
      </w:pPr>
      <w:r>
        <w:separator/>
      </w:r>
    </w:p>
  </w:endnote>
  <w:endnote w:type="continuationSeparator" w:id="0">
    <w:p w14:paraId="12667962" w14:textId="77777777" w:rsidR="00070AF2" w:rsidRDefault="00070AF2" w:rsidP="00DD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1ADDB" w14:textId="77777777" w:rsidR="00070AF2" w:rsidRDefault="00070AF2" w:rsidP="00DD2573">
      <w:pPr>
        <w:spacing w:after="0" w:line="240" w:lineRule="auto"/>
      </w:pPr>
      <w:r>
        <w:separator/>
      </w:r>
    </w:p>
  </w:footnote>
  <w:footnote w:type="continuationSeparator" w:id="0">
    <w:p w14:paraId="1527AA17" w14:textId="77777777" w:rsidR="00070AF2" w:rsidRDefault="00070AF2" w:rsidP="00DD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A6E7A" w14:textId="526EA94F" w:rsidR="00DD2573" w:rsidRDefault="0001010A">
    <w:pPr>
      <w:pStyle w:val="Header"/>
      <w:rPr>
        <w:rtl/>
      </w:rPr>
    </w:pPr>
    <w:r w:rsidRPr="0001010A">
      <w:rPr>
        <w:noProof/>
      </w:rPr>
      <w:drawing>
        <wp:inline distT="0" distB="0" distL="0" distR="0" wp14:anchorId="13A1183A" wp14:editId="73139CAE">
          <wp:extent cx="5633720" cy="721116"/>
          <wp:effectExtent l="0" t="0" r="5080" b="3175"/>
          <wp:docPr id="1" name="Picture 1" descr="H:\Desktop\نماذج\Hedar\header 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esktop\نماذج\Hedar\header 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720" cy="72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621D54" w14:textId="6AAFCC1F" w:rsidR="0001010A" w:rsidRDefault="0001010A">
    <w:pPr>
      <w:pStyle w:val="Header"/>
      <w:rPr>
        <w:rtl/>
      </w:rPr>
    </w:pPr>
  </w:p>
  <w:p w14:paraId="7536BC84" w14:textId="77777777" w:rsidR="0001010A" w:rsidRDefault="00010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C87"/>
    <w:multiLevelType w:val="hybridMultilevel"/>
    <w:tmpl w:val="96A6D48E"/>
    <w:lvl w:ilvl="0" w:tplc="C188315E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A5228"/>
    <w:multiLevelType w:val="hybridMultilevel"/>
    <w:tmpl w:val="3C82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51BB0"/>
    <w:multiLevelType w:val="hybridMultilevel"/>
    <w:tmpl w:val="BC6C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376B5"/>
    <w:multiLevelType w:val="hybridMultilevel"/>
    <w:tmpl w:val="93A00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E6A10"/>
    <w:multiLevelType w:val="hybridMultilevel"/>
    <w:tmpl w:val="4790C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35C2B"/>
    <w:multiLevelType w:val="hybridMultilevel"/>
    <w:tmpl w:val="62FA72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69"/>
    <w:rsid w:val="0001010A"/>
    <w:rsid w:val="000304CD"/>
    <w:rsid w:val="00056DD7"/>
    <w:rsid w:val="00067AF3"/>
    <w:rsid w:val="00070AF2"/>
    <w:rsid w:val="000F07B1"/>
    <w:rsid w:val="000F32A4"/>
    <w:rsid w:val="001A0948"/>
    <w:rsid w:val="00257CBE"/>
    <w:rsid w:val="00292748"/>
    <w:rsid w:val="0029550F"/>
    <w:rsid w:val="002D678E"/>
    <w:rsid w:val="002E3C06"/>
    <w:rsid w:val="00336C82"/>
    <w:rsid w:val="00345EFB"/>
    <w:rsid w:val="00377509"/>
    <w:rsid w:val="00401B96"/>
    <w:rsid w:val="00444075"/>
    <w:rsid w:val="00454200"/>
    <w:rsid w:val="0048476E"/>
    <w:rsid w:val="004A653D"/>
    <w:rsid w:val="004B540E"/>
    <w:rsid w:val="004D5CD7"/>
    <w:rsid w:val="005D1175"/>
    <w:rsid w:val="005D553E"/>
    <w:rsid w:val="00651753"/>
    <w:rsid w:val="006B2752"/>
    <w:rsid w:val="00725F45"/>
    <w:rsid w:val="00777E42"/>
    <w:rsid w:val="007816AC"/>
    <w:rsid w:val="007A6BE8"/>
    <w:rsid w:val="007E7DB1"/>
    <w:rsid w:val="007F22CA"/>
    <w:rsid w:val="00822F8F"/>
    <w:rsid w:val="00856DA8"/>
    <w:rsid w:val="00887F4B"/>
    <w:rsid w:val="008C207E"/>
    <w:rsid w:val="00901A19"/>
    <w:rsid w:val="00912440"/>
    <w:rsid w:val="00914F41"/>
    <w:rsid w:val="00927515"/>
    <w:rsid w:val="00967610"/>
    <w:rsid w:val="009720C2"/>
    <w:rsid w:val="009B4175"/>
    <w:rsid w:val="009B57EA"/>
    <w:rsid w:val="009C45C6"/>
    <w:rsid w:val="00A537D1"/>
    <w:rsid w:val="00A84CA2"/>
    <w:rsid w:val="00AC5369"/>
    <w:rsid w:val="00AF1D60"/>
    <w:rsid w:val="00B30332"/>
    <w:rsid w:val="00B6753D"/>
    <w:rsid w:val="00C219CA"/>
    <w:rsid w:val="00C40B7C"/>
    <w:rsid w:val="00C60516"/>
    <w:rsid w:val="00CB015B"/>
    <w:rsid w:val="00CB08AB"/>
    <w:rsid w:val="00D16A8B"/>
    <w:rsid w:val="00D42340"/>
    <w:rsid w:val="00D66A99"/>
    <w:rsid w:val="00DD2573"/>
    <w:rsid w:val="00E20861"/>
    <w:rsid w:val="00E719D2"/>
    <w:rsid w:val="00EE288F"/>
    <w:rsid w:val="00F01BC4"/>
    <w:rsid w:val="00F20B5B"/>
    <w:rsid w:val="00F21442"/>
    <w:rsid w:val="00F56639"/>
    <w:rsid w:val="00F75A3A"/>
    <w:rsid w:val="00FD0122"/>
    <w:rsid w:val="00F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D901"/>
  <w15:chartTrackingRefBased/>
  <w15:docId w15:val="{04CC4ED5-D248-9943-8457-D9404F79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3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3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6C82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6C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2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573"/>
  </w:style>
  <w:style w:type="paragraph" w:styleId="Footer">
    <w:name w:val="footer"/>
    <w:basedOn w:val="Normal"/>
    <w:link w:val="FooterChar"/>
    <w:uiPriority w:val="99"/>
    <w:unhideWhenUsed/>
    <w:rsid w:val="00DD2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aunclaimeddividends@bankf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Shereen</dc:creator>
  <cp:keywords/>
  <dc:description/>
  <cp:lastModifiedBy>Muneera Abdul latif Ahmed Al Hamadi</cp:lastModifiedBy>
  <cp:revision>3</cp:revision>
  <dcterms:created xsi:type="dcterms:W3CDTF">2024-02-21T05:56:00Z</dcterms:created>
  <dcterms:modified xsi:type="dcterms:W3CDTF">2024-02-22T06:29:00Z</dcterms:modified>
</cp:coreProperties>
</file>